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仿宋" w:eastAsia="方正小标宋简体" w:cs="微软雅黑"/>
          <w:b/>
          <w:color w:val="333333"/>
          <w:sz w:val="36"/>
          <w:szCs w:val="36"/>
        </w:rPr>
      </w:pPr>
      <w:bookmarkStart w:id="0" w:name="_GoBack"/>
      <w:r>
        <w:rPr>
          <w:rFonts w:hint="eastAsia" w:ascii="仿宋" w:hAnsi="仿宋" w:eastAsia="仿宋" w:cs="Times New Roman"/>
          <w:sz w:val="32"/>
          <w:szCs w:val="32"/>
        </w:rPr>
        <w:t>附件1：</w:t>
      </w:r>
    </w:p>
    <w:p>
      <w:pPr>
        <w:widowControl/>
        <w:shd w:val="clear" w:color="auto" w:fill="FFFFFF"/>
        <w:jc w:val="center"/>
      </w:pPr>
      <w:r>
        <w:rPr>
          <w:rFonts w:hint="eastAsia" w:ascii="方正小标宋简体" w:hAnsi="仿宋" w:eastAsia="方正小标宋简体" w:cs="微软雅黑"/>
          <w:b/>
          <w:color w:val="333333"/>
          <w:sz w:val="36"/>
          <w:szCs w:val="36"/>
        </w:rPr>
        <w:t>河南农业大学2023年度“书香学院”评选细则</w:t>
      </w:r>
    </w:p>
    <w:bookmarkEnd w:id="0"/>
    <w:tbl>
      <w:tblPr>
        <w:tblStyle w:val="4"/>
        <w:tblpPr w:leftFromText="180" w:rightFromText="180" w:vertAnchor="page" w:horzAnchor="margin" w:tblpXSpec="center" w:tblpY="2928"/>
        <w:tblW w:w="97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511"/>
        <w:gridCol w:w="6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6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一、组织保障（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10%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组织领导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（5分）</w:t>
            </w:r>
          </w:p>
        </w:tc>
        <w:tc>
          <w:tcPr>
            <w:tcW w:w="6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学院领导主抓书香学院建设。（1分）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将书香学院建设列入学院文化建设的重要内容，纳入学院整体规划。（2分）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针对书香学院建设制订工作方案，做到有计划、有检查、有总结。（2分）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队伍建设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（5分）</w:t>
            </w:r>
          </w:p>
        </w:tc>
        <w:tc>
          <w:tcPr>
            <w:tcW w:w="6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成立师生读书活动组织，结合学校、学院实际开展阅读活动。（3分）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师生对创建“书香学院”活动的知晓率和参与率在90%以上。（2分）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二、书香建设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40%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环境设施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6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学院建有资料室或阅读空间等场所，有专人规范管理，且使用效率高。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资料室或阅读空间管理制度健全，设施配备完善，图书、期刊、资料等丰富全面，满足师生使用需求。（5分）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活动组织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（15分）</w:t>
            </w:r>
          </w:p>
        </w:tc>
        <w:tc>
          <w:tcPr>
            <w:tcW w:w="6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利用主题班会、教职工大会、国旗下的演讲等形式进行广泛动员，激发学生阅读兴趣。（5分）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围绕特色节日、重要时间节点，特别注重红色文化、传统文化传承等元素，开展阅读征文、演讲、经典诵读、读书分享等活动。（10分）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活动参与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6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组织学院师生广泛参与“弘农爱国”读书节系列线上、线下活动。（3分）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组织新生进行新生入馆教育、图书馆知识教育，指导学生利用图书馆。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（3分）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学院师生在各级、各类阅读推广活动、比赛中取得良好成绩。（2分）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学院学生在官方媒体平台或读书节活动中投稿被采用。（2分）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氛围营造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（5分）</w:t>
            </w:r>
          </w:p>
        </w:tc>
        <w:tc>
          <w:tcPr>
            <w:tcW w:w="6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学院环境书香气息浓厚，有与读书相关的标语、海报等。（2分）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学院网站或自媒体平台含有开展读书活动、创建“书香学院”等内容。（3分）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4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三、资源利用（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30%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图书借阅量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6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学院2023年度生均借阅量。（由图书馆根据统计数据计算）（10分）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入馆次数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6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学院2023年度生均入馆次数。（由图书馆根据统计数据计算）（10分）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信息素养教育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6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学院学生信息素养教育（数据库推介专题讲座、信息检索比赛、文检课选修等）参与情况。（10分）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四、特色创新（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6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学院举办的特色阅读等文化活动，被上级部门肯定或被本校师生认可，具有示范作用和推广价值。（20分）</w:t>
            </w:r>
          </w:p>
        </w:tc>
      </w:tr>
    </w:tbl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YjZkMTAwYzdmYjkxMmYwNzhmYThjMWM4MTU4YTYifQ=="/>
  </w:docVars>
  <w:rsids>
    <w:rsidRoot w:val="7BE65581"/>
    <w:rsid w:val="7BE6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2024-04-15T00:55:00Z</dcterms:created>
  <dc:creator>Administrator</dc:creator>
  <cp:lastModifiedBy>Administrator</cp:lastModifiedBy>
  <dcterms:modified xsi:type="dcterms:W3CDTF">2024-04-15T00:55:47Z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BDCE1C7BC6FC4C0A9849564A0696AF2E_11</vt:lpwstr>
  </property>
</Properties>
</file>