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DejaVu Sans" w:hAnsi="DejaVu Sans" w:eastAsia="方正黑体_GBK"/>
        </w:rPr>
      </w:pPr>
      <w:r>
        <w:rPr>
          <w:rFonts w:asciiTheme="minorEastAsia" w:hAnsiTheme="minorEastAsia"/>
        </w:rPr>
        <w:t>附件</w:t>
      </w:r>
      <w:r>
        <w:rPr>
          <w:rFonts w:hint="eastAsia" w:asciiTheme="minorEastAsia" w:hAnsiTheme="minorEastAsia"/>
        </w:rPr>
        <w:t>1</w:t>
      </w:r>
      <w:r>
        <w:rPr>
          <w:rFonts w:ascii="DejaVu Sans" w:hAnsi="DejaVu Sans" w:eastAsia="方正黑体_GBK"/>
        </w:rPr>
        <w:t>：</w:t>
      </w:r>
    </w:p>
    <w:p>
      <w:pPr>
        <w:pStyle w:val="2"/>
        <w:spacing w:line="500" w:lineRule="exact"/>
        <w:jc w:val="center"/>
        <w:rPr>
          <w:rFonts w:ascii="方正小标宋简体" w:hAnsi="DejaVu Sans" w:eastAsia="方正小标宋简体"/>
          <w:b w:val="0"/>
        </w:rPr>
      </w:pPr>
      <w:r>
        <w:rPr>
          <w:rFonts w:hint="eastAsia" w:ascii="方正小标宋简体" w:hAnsi="DejaVu Sans" w:eastAsia="方正小标宋简体"/>
          <w:b w:val="0"/>
        </w:rPr>
        <w:t>第五届河南省高校“经典润年华·筑梦新时代”主题诵读</w:t>
      </w:r>
    </w:p>
    <w:p>
      <w:pPr>
        <w:pStyle w:val="2"/>
        <w:spacing w:line="500" w:lineRule="exact"/>
        <w:jc w:val="center"/>
        <w:rPr>
          <w:rFonts w:ascii="方正小标宋简体" w:hAnsi="DejaVu Sans" w:eastAsia="方正小标宋简体"/>
          <w:b w:val="0"/>
        </w:rPr>
      </w:pPr>
      <w:r>
        <w:rPr>
          <w:rFonts w:hint="eastAsia" w:ascii="方正小标宋简体" w:hAnsi="DejaVu Sans" w:eastAsia="方正小标宋简体"/>
          <w:b w:val="0"/>
        </w:rPr>
        <w:t>大赛要求</w:t>
      </w:r>
    </w:p>
    <w:p>
      <w:pPr>
        <w:spacing w:line="360" w:lineRule="auto"/>
        <w:ind w:left="640" w:hanging="640" w:hangingChars="200"/>
        <w:jc w:val="left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一、第五届河南省高校“经典润年华·筑梦新时代”主题诵读大赛通知</w:t>
      </w:r>
      <w:bookmarkStart w:id="0" w:name="_GoBack"/>
      <w:bookmarkEnd w:id="0"/>
    </w:p>
    <w:p>
      <w:pPr>
        <w:pStyle w:val="5"/>
        <w:spacing w:line="360" w:lineRule="auto"/>
        <w:ind w:left="360" w:firstLine="361" w:firstLineChars="100"/>
        <w:jc w:val="left"/>
        <w:rPr>
          <w:rFonts w:ascii="黑体" w:hAnsi="黑体" w:eastAsia="黑体" w:cs="黑体"/>
          <w:b/>
          <w:bCs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drawing>
          <wp:inline distT="0" distB="0" distL="0" distR="0">
            <wp:extent cx="1494790" cy="1506220"/>
            <wp:effectExtent l="0" t="0" r="1016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39" cy="15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0" w:hanging="640" w:hanging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二、参赛入口</w:t>
      </w:r>
      <w:r>
        <w:rPr>
          <w:rFonts w:hint="eastAsia" w:ascii="黑体" w:hAnsi="黑体" w:eastAsia="黑体" w:cs="仿宋"/>
          <w:snapToGrid w:val="0"/>
          <w:kern w:val="0"/>
          <w:sz w:val="32"/>
          <w:szCs w:val="32"/>
        </w:rPr>
        <w:t>（</w:t>
      </w:r>
      <w:r>
        <w:rPr>
          <w:rFonts w:hint="eastAsia" w:ascii="仿宋_GB2312" w:hAnsi="黑体" w:eastAsia="仿宋_GB2312" w:cs="仿宋"/>
          <w:snapToGrid w:val="0"/>
          <w:kern w:val="0"/>
          <w:sz w:val="32"/>
          <w:szCs w:val="32"/>
        </w:rPr>
        <w:t>微信识别二维码进入线上诵读平台</w:t>
      </w:r>
      <w:r>
        <w:rPr>
          <w:rFonts w:hint="eastAsia" w:ascii="黑体" w:hAnsi="黑体" w:eastAsia="黑体" w:cs="仿宋"/>
          <w:snapToGrid w:val="0"/>
          <w:kern w:val="0"/>
          <w:sz w:val="32"/>
          <w:szCs w:val="32"/>
        </w:rPr>
        <w:t>）</w:t>
      </w:r>
      <w:r>
        <w:rPr>
          <w:snapToGrid w:val="0"/>
        </w:rPr>
        <w:drawing>
          <wp:inline distT="0" distB="0" distL="0" distR="0">
            <wp:extent cx="1505585" cy="1554480"/>
            <wp:effectExtent l="0" t="0" r="184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温馨提示：（1）作品一经删除无法恢复，请慎重删除作品。</w:t>
      </w:r>
    </w:p>
    <w:p>
      <w:pPr>
        <w:spacing w:line="360" w:lineRule="auto"/>
        <w:ind w:firstLine="1680" w:firstLineChars="6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（2）目前平台方只提供主题词一、二、五3个选项，</w:t>
      </w:r>
    </w:p>
    <w:p>
      <w:pPr>
        <w:spacing w:line="360" w:lineRule="auto"/>
        <w:ind w:firstLine="1400" w:firstLineChars="5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若选择另外两个主题词需自行上传文章素材。</w:t>
      </w:r>
    </w:p>
    <w:p>
      <w:pPr>
        <w:spacing w:line="360" w:lineRule="auto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三、作品要求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（一）作品基础要求：音频或视频形式均可，作品整体时长建议不超过5分钟，团队合作作品不得超过5人。提交其他活动作品参赛或翻录作品被视为无效作品。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（二）参赛选手提交的参赛作品应遵守社会主义核心价值观，政治导向正确，内容准确、健康向上，可从“学习强国”“优谷文库”中选择符合主题的诵读作品。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（三）参赛作品的左右声道声音完整且同步，不能有消声、杂音等。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四）视频作品画幅比例16:9最佳，4:3可以接受，不接受上下左右都有黑边的视频，建议分辨率不低于720P。视频作品要求诵读者本人出镜，拍摄背景干净整洁，诵读者仪表仪态得体大方，画面、声音清晰，同时应避免出现与本次活动无关的其他信息(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如其他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活动背景、品牌LOGO等)。字幕要求简洁清晰，不能简繁同用，不使用过于个性化字体，避免错别字和标点不规范使用的情况。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（五）参赛作品中所含信息（包括但不限于视频画面、声音、文字、图片）不得含有以下内容：</w:t>
      </w:r>
    </w:p>
    <w:p>
      <w:pPr>
        <w:spacing w:line="360" w:lineRule="auto"/>
        <w:ind w:left="56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1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反对宪法确定的基本原则的；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危害国家统一、主权和领土完整的；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3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泄露国家秘密、危害国家安全或者损害国家荣誉和利益的；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4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煽动民族仇恨、民族歧视，破坏民族团结，或者侵害民族风俗、习惯的；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5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宣扬邪教、迷信的；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6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扰乱社会秩序，破坏社会稳定的；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7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诱导未成年人违法犯罪和渲染暴力、色情、赌博、恐怖活动的；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8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侮辱或者诽谤他人，侵害公民个人隐私等他人合法权益的；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9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危害社会公德，损害民族优秀文化传统，违反公序良俗的；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1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0.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未经核实的虚假信息；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1</w:t>
      </w:r>
      <w:r>
        <w:rPr>
          <w:rFonts w:ascii="仿宋" w:hAnsi="仿宋" w:eastAsia="仿宋" w:cs="仿宋"/>
          <w:snapToGrid w:val="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有关法律、行政法规和国家规定禁止的其他内容。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YjZkMTAwYzdmYjkxMmYwNzhmYThjMWM4MTU4YTYifQ=="/>
  </w:docVars>
  <w:rsids>
    <w:rsidRoot w:val="101E2D64"/>
    <w:rsid w:val="101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2024-04-15T01:20:00Z</dcterms:created>
  <dc:creator>Administrator</dc:creator>
  <cp:lastModifiedBy>Administrator</cp:lastModifiedBy>
  <dcterms:modified xsi:type="dcterms:W3CDTF">2024-04-15T01:21:43Z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C8B2DB6117C640FC91675EC1177BACC2_11</vt:lpwstr>
  </property>
</Properties>
</file>